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EE2BD2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EE2B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8e-5mm;mso-wrap-distance-bottom:-8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761528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06.07.2018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482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1A2152" w:rsidTr="0018169A">
        <w:tc>
          <w:tcPr>
            <w:tcW w:w="5495" w:type="dxa"/>
          </w:tcPr>
          <w:p w:rsidR="00177CE3" w:rsidRPr="00177CE3" w:rsidRDefault="00177CE3" w:rsidP="007E1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76152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О         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спадкоємцю 1/3 </w:t>
            </w:r>
            <w:r w:rsidR="001A2152" w:rsidRP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земельної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частки (</w:t>
            </w:r>
            <w:r w:rsidR="001A2152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па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й</w:t>
            </w:r>
            <w:r w:rsidR="001A2152"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№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179, рілля)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1A215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Преображенська</w:t>
            </w:r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7E1757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Default="00177CE3" w:rsidP="007E1757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A2152" w:rsidRDefault="001A2152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7E17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7615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                           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опгоспу</w:t>
      </w:r>
      <w:proofErr w:type="spellEnd"/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«Більшовик»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A21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Преображенській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Сватівського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 xml:space="preserve">, пунктами 2, 16, 17 Перехідних положень Земельного кодексу України, статтями 5, 7 Закону України «Про порядок виділення в натурі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 xml:space="preserve">(на місцевості) земельних ділянок власникам земельних часток (паїв)», Законом України «Про землеустрій» та статтями 21, 41 Закону України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br/>
        <w:t>«Про місцеві державні адміністрації»:</w:t>
      </w:r>
    </w:p>
    <w:p w:rsidR="00177CE3" w:rsidRPr="00177CE3" w:rsidRDefault="00177CE3" w:rsidP="007E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7E17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7615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                          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A12068" w:rsidRP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спадкоєм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цю 1/3</w:t>
      </w:r>
      <w:r w:rsidR="00A12068" w:rsidRP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земельної частки (паю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179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рілля</w:t>
      </w:r>
      <w:r w:rsid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),</w:t>
      </w:r>
      <w:r w:rsidR="00A12068" w:rsidRPr="00A1206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сертифіката на право на земельну частку (пай) серії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ЛГ № 0105975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</w:t>
      </w:r>
      <w:r w:rsidR="00212937"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земель </w:t>
      </w:r>
      <w:proofErr w:type="spellStart"/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коопгоспу</w:t>
      </w:r>
      <w:proofErr w:type="spellEnd"/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«Більшовик»,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із землеустрою щодо встановлення меж земельної ділянки в натурі (на місцевості), розташован</w:t>
      </w:r>
      <w:r w:rsidR="00212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r w:rsidR="009C6D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Преображенської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Сватівського району Луганської області, для ведення товарного сільськогосподарського виробництва.</w:t>
      </w:r>
    </w:p>
    <w:p w:rsidR="00177CE3" w:rsidRPr="00177CE3" w:rsidRDefault="00177CE3" w:rsidP="007E17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7E1757" w:rsidRPr="007E1757" w:rsidRDefault="00177CE3" w:rsidP="007E1757">
      <w:pPr>
        <w:pStyle w:val="a5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E1757"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>Перший заступник голови,</w:t>
      </w:r>
    </w:p>
    <w:p w:rsidR="00177CE3" w:rsidRPr="007E1757" w:rsidRDefault="007E1757" w:rsidP="007E1757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>в.о. го</w:t>
      </w:r>
      <w:r w:rsidR="00177CE3"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>лов</w:t>
      </w:r>
      <w:r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>и</w:t>
      </w:r>
      <w:r w:rsidR="00177CE3"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райдержадміністрації </w:t>
      </w:r>
      <w:r w:rsidR="00177CE3"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>О.В.</w:t>
      </w:r>
      <w:proofErr w:type="spellStart"/>
      <w:r w:rsidRPr="007E1757">
        <w:rPr>
          <w:rFonts w:ascii="Times New Roman" w:hAnsi="Times New Roman" w:cs="Times New Roman"/>
          <w:b/>
          <w:sz w:val="28"/>
          <w:szCs w:val="28"/>
          <w:lang w:val="uk-UA" w:eastAsia="uk-UA"/>
        </w:rPr>
        <w:t>Либа</w:t>
      </w:r>
      <w:proofErr w:type="spellEnd"/>
    </w:p>
    <w:sectPr w:rsidR="00177CE3" w:rsidRPr="007E1757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177CE3"/>
    <w:rsid w:val="001A2152"/>
    <w:rsid w:val="001B5618"/>
    <w:rsid w:val="00212937"/>
    <w:rsid w:val="004B5B8C"/>
    <w:rsid w:val="005539FC"/>
    <w:rsid w:val="00761528"/>
    <w:rsid w:val="007E1757"/>
    <w:rsid w:val="009C6D64"/>
    <w:rsid w:val="00A12068"/>
    <w:rsid w:val="00B7032A"/>
    <w:rsid w:val="00DE01D0"/>
    <w:rsid w:val="00EE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17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1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11</cp:revision>
  <dcterms:created xsi:type="dcterms:W3CDTF">2018-05-23T11:32:00Z</dcterms:created>
  <dcterms:modified xsi:type="dcterms:W3CDTF">2018-07-31T13:07:00Z</dcterms:modified>
</cp:coreProperties>
</file>